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الثالثة جاهزية المسار واستمراره</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قبل إطلاق مسار أو توسيعه. يراجعها المسؤول الفني مع الجهات المختصة بالموارد. يمكن كتابة «متاح» أو «يحتاج إلى استكمال» مع الشاهد، ثم تحديد الحد الذي يمكن تشغيله بالفعل. لا تُعتبر كثرة الطلاب المرشحين وحدها دليلًا على الجاهزية.</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18"/>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19"/>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2835"/>
        <w:gridCol w:w="3969"/>
        <w:gridCol w:w="3061"/>
      </w:tblGrid>
      <w:tr>
        <w:trPr>
          <w:tblHeader w:val="1"/>
        </w:trPr>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المتطلب</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المتاح والفجوة</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يستكملها ومتى؟</w:t>
            </w:r>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منهج وتقويم يناسبان الفئة</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20"/>
                <w:alias w:val="row1_col2"/>
                <w:tag w:val="row1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21"/>
                <w:alias w:val="row1_col3"/>
                <w:tag w:val="row1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معلم مؤهل ووقت تعليم</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22"/>
                <w:alias w:val="row2_col2"/>
                <w:tag w:val="row2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23"/>
                <w:alias w:val="row2_col3"/>
                <w:tag w:val="row2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مشرف ووسيلة متابعة</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24"/>
                <w:alias w:val="row3_col2"/>
                <w:tag w:val="row3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25"/>
                <w:alias w:val="row3_col3"/>
                <w:tag w:val="row3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مكان وأدوات وإتاحة مناسبة</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26"/>
                <w:alias w:val="row4_col2"/>
                <w:tag w:val="row4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27"/>
                <w:alias w:val="row4_col3"/>
                <w:tag w:val="row4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تكلفة التشغيل ومصدر تغطيتها</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sdt>
              <w:sdtPr>
                <w:id w:val="5028"/>
                <w:alias w:val="row5_col2"/>
                <w:tag w:val="row5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sdt>
              <w:sdtPr>
                <w:id w:val="5029"/>
                <w:alias w:val="row5_col3"/>
                <w:tag w:val="row5_col3"/>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دليل الجاهزية وحد التوسع</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sdt>
              <w:sdtPr>
                <w:id w:val="5030"/>
                <w:alias w:val="row6_col2"/>
                <w:tag w:val="row6_col2"/>
              </w:sdtPr>
              <w:sdtContent>
                <w:r>
                  <w:rPr>
                    <w:rFonts w:ascii="Tajawal" w:hAnsi="Tajawal" w:cs="Tajawal"/>
                    <w:color w:val="777777"/>
                    <w:sz w:val="22"/>
                    <w:szCs w:val="22"/>
                    <w:rtl w:val="1"/>
                    <w:lang w:val="ar-KW" w:bidi="ar-KW"/>
                  </w:rPr>
                  <w:t>اكتب هنا</w:t>
                </w:r>
              </w:sdtContent>
            </w:sdt>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sdt>
              <w:sdtPr>
                <w:id w:val="5031"/>
                <w:alias w:val="row6_col3"/>
                <w:tag w:val="row6_col3"/>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2835"/>
        <w:gridCol w:w="3969"/>
        <w:gridCol w:w="3061"/>
      </w:tblGrid>
      <w:tr>
        <w:trPr>
          <w:tblHeader w:val="1"/>
        </w:trPr>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المتطلب</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المتاح والفجوة</w:t>
            </w:r>
          </w:p>
        </w:tc>
        <w:tc>
          <w:tcPr>
            <w:tcW w:type="dxa" w:w="3289"/>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 يستكملها ومتى؟</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منهج وتقويم يناسبان الفئة</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منهج مراجعة متاح؛ أداة التقويم تحتاج إلى اعتماد.</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المسؤول الفني؛ قبل بدء التجربة.</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معلم مؤهل ووقت تعليم</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معلم متاح؛ حصتان أسبوعيًا محددتان.</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مدير المركز يثبت الجدول قبل التسجيل.</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مشرف ووسيلة متابعة</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المشرف متاح؛ وقت المتابعة غير مخصص.</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مدير المكتب يحدد وقتًا أسبوعيًا قبل الإطلاق.</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مكان وأدوات وإتاحة مناسبة</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المكان متاح؛ تُراجع وسيلة التعلم بحسب حاجة الطلاب.</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منسق المسار يراجع الإتاحة قبل القبول.</w:t>
            </w:r>
          </w:p>
        </w:tc>
      </w:tr>
      <w:tr>
        <w:trPr>
          <w:trHeight w:val="652" w:hRule="atLeast"/>
          <w:cantSplit w:val="1"/>
        </w:trPr>
        <w:tc>
          <w:tcPr>
            <w:tcW w:type="dxa" w:w="2835"/>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تكلفة التشغيل ومصدر تغطيتها</w:t>
            </w:r>
          </w:p>
        </w:tc>
        <w:tc>
          <w:tcPr>
            <w:tcW w:type="dxa" w:w="3969"/>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وقت المعلم مغطى؛ تكلفة المواد لم تُحصر.</w:t>
            </w:r>
          </w:p>
        </w:tc>
        <w:tc>
          <w:tcPr>
            <w:tcW w:type="dxa" w:w="3061"/>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مسؤول الموارد يحصر الاحتياج ويؤكد التغطية.</w:t>
            </w:r>
          </w:p>
        </w:tc>
      </w:tr>
      <w:tr>
        <w:trPr>
          <w:trHeight w:val="652" w:hRule="atLeast"/>
          <w:cantSplit w:val="1"/>
        </w:trPr>
        <w:tc>
          <w:tcPr>
            <w:tcW w:type="dxa" w:w="2835"/>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دليل الجاهزية وحد التوسع</w:t>
            </w:r>
          </w:p>
        </w:tc>
        <w:tc>
          <w:tcPr>
            <w:tcW w:type="dxa" w:w="3969"/>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تشغيل مجموعة تجريبية بعد إغلاق الفجوات؛ التوسع بعد مراجعة شهر.</w:t>
            </w:r>
          </w:p>
        </w:tc>
        <w:tc>
          <w:tcPr>
            <w:tcW w:type="dxa" w:w="3061"/>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المسؤول المخول يعتمد النطاق وموعد المراجعة.</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قرار الخروج من المراجعة</w:t>
      </w:r>
    </w:p>
    <w:p>
      <w:pPr>
        <w:bidi w:val="1"/>
        <w:jc w:val="start"/>
        <w:rPr>
          <w:rtl w:val="1"/>
          <w:lang w:val="ar-KW" w:bidi="ar-KW"/>
        </w:rPr>
      </w:pPr>
      <w:r>
        <w:rPr>
          <w:rFonts w:ascii="Tajawal" w:hAnsi="Tajawal" w:cs="Tajawal" w:eastAsia="Tajawal"/>
          <w:rtl w:val="1"/>
          <w:lang w:val="ar-KW" w:bidi="ar-KW"/>
        </w:rPr>
        <w:t xml:space="preserve">اختر: إطلاق بالنطاق الجاهز، أو استكمال فجوة قبل الإطلاق، أو تعديل التصميم، أو تأجيله. اذكر السبب والموعد التالي. وفي المراجعة اللاحقة افحص قدرة الموارد على الاستمرار، إلى جانب ما أتيح عند البداية.</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الثالثة جاهزية المسار واستمراره</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