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Tajawal-Bold.odttf" ContentType="application/vnd.openxmlformats-officedocument.obfuscatedFont"/>
  <Override PartName="/word/fonts/Tajawal-Regular.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center"/>
        <w:rPr>
          <w:rtl w:val="1"/>
          <w:lang w:val="ar-KW" w:bidi="ar-KW"/>
        </w:rPr>
      </w:pPr>
      <w:r>
        <w:rPr>
          <w:rFonts w:ascii="Tajawal" w:hAnsi="Tajawal" w:cs="Tajawal" w:eastAsia="Tajawal"/>
          <w:rtl w:val="1"/>
          <w:lang w:val="ar-KW" w:bidi="ar-KW"/>
        </w:rPr>
        <w:t xml:space="preserve">الأداة الخامسة تعريف المؤشر وقراءة النتيجة</w:t>
      </w:r>
    </w:p>
    <w:p>
      <w:pPr>
        <w:pStyle w:val="Subtitle"/>
        <w:bidi w:val="1"/>
        <w:jc w:val="center"/>
        <w:rPr>
          <w:rtl w:val="1"/>
          <w:lang w:val="ar-KW" w:bidi="ar-KW"/>
        </w:rPr>
      </w:pPr>
      <w:r>
        <w:rPr>
          <w:rFonts w:ascii="Tajawal" w:hAnsi="Tajawal" w:cs="Tajawal" w:eastAsia="Tajawal"/>
          <w:rtl w:val="1"/>
          <w:lang w:val="ar-KW" w:bidi="ar-KW"/>
        </w:rPr>
        <w:t xml:space="preserve">نموذج قابل للتعبئة والتعديل</w:t>
      </w:r>
    </w:p>
    <w:p>
      <w:pPr>
        <w:bidi w:val="1"/>
        <w:jc w:val="start"/>
        <w:rPr>
          <w:rtl w:val="1"/>
          <w:lang w:val="ar-KW" w:bidi="ar-KW"/>
        </w:rPr>
      </w:pPr>
      <w:r>
        <w:rPr>
          <w:rFonts w:ascii="Tajawal" w:hAnsi="Tajawal" w:cs="Tajawal" w:eastAsia="Tajawal"/>
          <w:rtl w:val="1"/>
          <w:lang w:val="ar-KW" w:bidi="ar-KW"/>
        </w:rPr>
        <w:t xml:space="preserve">تستخدم قبل المقارنة بين فترتين أو مكتبين. عرّف ما يدخل في الحساب وما يستبعد منه، وتحقق من تغطية السجل وحداثته. ينبغي أن يرتبط المؤشر بسؤال وقرار واضحين؛ فزيادة عدد الحقول قد تزيد عبء التسجيل دون أن تزيد الفهم.</w:t>
      </w:r>
    </w:p>
    <w:p>
      <w:pPr>
        <w:bidi w:val="1"/>
        <w:jc w:val="start"/>
        <w:rPr>
          <w:rtl w:val="1"/>
          <w:lang w:val="ar-KW" w:bidi="ar-KW"/>
        </w:rPr>
      </w:pPr>
      <w:r>
        <w:rPr>
          <w:rFonts w:ascii="Tajawal" w:hAnsi="Tajawal" w:cs="Tajawal" w:eastAsia="Tajawal"/>
          <w:rtl w:val="1"/>
          <w:lang w:val="ar-KW" w:bidi="ar-KW"/>
        </w:rPr>
        <w:t xml:space="preserve">الجهة أو البرنامج: </w:t>
      </w:r>
      <w:sdt>
        <w:sdtPr>
          <w:id w:val="5046"/>
          <w:alias w:val="organization"/>
          <w:tag w:val="organization"/>
        </w:sdtPr>
        <w:sdtContent>
          <w:r>
            <w:rPr>
              <w:rFonts w:ascii="Tajawal" w:hAnsi="Tajawal" w:cs="Tajawal"/>
              <w:color w:val="777777"/>
              <w:sz w:val="22"/>
              <w:szCs w:val="22"/>
              <w:rtl w:val="1"/>
              <w:lang w:val="ar-KW" w:bidi="ar-KW"/>
            </w:rPr>
            <w:t>اكتب هنا</w:t>
          </w:r>
        </w:sdtContent>
      </w:sdt>
    </w:p>
    <w:p>
      <w:pPr>
        <w:bidi w:val="1"/>
        <w:jc w:val="start"/>
        <w:rPr>
          <w:rtl w:val="1"/>
          <w:lang w:val="ar-KW" w:bidi="ar-KW"/>
        </w:rPr>
      </w:pPr>
      <w:r>
        <w:rPr>
          <w:rFonts w:ascii="Tajawal" w:hAnsi="Tajawal" w:cs="Tajawal" w:eastAsia="Tajawal"/>
          <w:rtl w:val="1"/>
          <w:lang w:val="ar-KW" w:bidi="ar-KW"/>
        </w:rPr>
        <w:t xml:space="preserve">المسؤول والفترة وتاريخ المراجعة: </w:t>
      </w:r>
      <w:sdt>
        <w:sdtPr>
          <w:id w:val="5047"/>
          <w:alias w:val="owner_period"/>
          <w:tag w:val="owner_period"/>
        </w:sdtPr>
        <w:sdtContent>
          <w:r>
            <w:rPr>
              <w:rFonts w:ascii="Tajawal" w:hAnsi="Tajawal" w:cs="Tajawal"/>
              <w:color w:val="777777"/>
              <w:sz w:val="22"/>
              <w:szCs w:val="22"/>
              <w:rtl w:val="1"/>
              <w:lang w:val="ar-KW" w:bidi="ar-KW"/>
            </w:rPr>
            <w:t>اكتب هنا</w:t>
          </w:r>
        </w:sdtContent>
      </w:sdt>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عنصر المؤشر</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التعريف والبيانات</w:t>
            </w:r>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الاسم والقرار الذي يخدمه</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48"/>
                <w:alias w:val="row1_col2"/>
                <w:tag w:val="row1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الفئة والفترة ونطاق التغطية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49"/>
                <w:alias w:val="row2_col2"/>
                <w:tag w:val="row2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التعريف؛ البسط والمقام إن كان نسبة</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50"/>
                <w:alias w:val="row3_col2"/>
                <w:tag w:val="row3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المصدر ومسؤول الإدخال والتحقق</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51"/>
                <w:alias w:val="row4_col2"/>
                <w:tag w:val="row4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الاكتمال وتاريخ آخر تحديث</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52"/>
                <w:alias w:val="row5_col2"/>
                <w:tag w:val="row5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قيمة البداية والقيمة اللاحقة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sdt>
              <w:sdtPr>
                <w:id w:val="5053"/>
                <w:alias w:val="row6_col2"/>
                <w:tag w:val="row6_col2"/>
              </w:sdtPr>
              <w:sdtContent>
                <w:r>
                  <w:rPr>
                    <w:rFonts w:ascii="Tajawal" w:hAnsi="Tajawal" w:cs="Tajawal"/>
                    <w:color w:val="777777"/>
                    <w:sz w:val="22"/>
                    <w:szCs w:val="22"/>
                    <w:rtl w:val="1"/>
                    <w:lang w:val="ar-KW" w:bidi="ar-KW"/>
                  </w:rPr>
                  <w:t>اكتب هنا</w:t>
                </w:r>
              </w:sdtContent>
            </w:sdt>
          </w:p>
        </w:tc>
      </w:tr>
      <w:tr>
        <w:trPr>
          <w:trHeight w:val="879"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التفسير والإجراء الذي يترتب عليها</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sdt>
              <w:sdtPr>
                <w:id w:val="5054"/>
                <w:alias w:val="row7_col2"/>
                <w:tag w:val="row7_col2"/>
              </w:sdtPr>
              <w:sdtContent>
                <w:r>
                  <w:rPr>
                    <w:rFonts w:ascii="Tajawal" w:hAnsi="Tajawal" w:cs="Tajawal"/>
                    <w:color w:val="777777"/>
                    <w:sz w:val="22"/>
                    <w:szCs w:val="22"/>
                    <w:rtl w:val="1"/>
                    <w:lang w:val="ar-KW" w:bidi="ar-KW"/>
                  </w:rPr>
                  <w:t>اكتب هنا</w:t>
                </w:r>
              </w:sdtContent>
            </w:sdt>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طريقة التعبئة</w:t>
      </w:r>
    </w:p>
    <w:p>
      <w:pPr>
        <w:bidi w:val="1"/>
        <w:jc w:val="start"/>
        <w:rPr>
          <w:rtl w:val="1"/>
          <w:lang w:val="ar-KW" w:bidi="ar-KW"/>
        </w:rPr>
      </w:pPr>
      <w:r>
        <w:rPr>
          <w:rFonts w:ascii="Tajawal" w:hAnsi="Tajawal" w:cs="Tajawal" w:eastAsia="Tajawal"/>
          <w:rtl w:val="1"/>
          <w:lang w:val="ar-KW" w:bidi="ar-KW"/>
        </w:rPr>
        <w:t xml:space="preserve">انقر داخل الحقل واكتب إجابتك، أو اطبع النموذج للتعبئة اليدوية. احتفظ بنسخة لكل تطبيق، وسجّل ما لا تعرفه مع المسؤول عن استكماله. الصفحة التالية مثال تدريبي مكتمل.</w:t>
      </w:r>
    </w:p>
    <w:p>
      <w:pPr>
        <w:pStyle w:val="Heading1"/>
        <w:pageBreakBefore/>
        <w:bidi w:val="1"/>
        <w:jc w:val="start"/>
        <w:rPr>
          <w:rtl w:val="1"/>
          <w:lang w:val="ar-KW" w:bidi="ar-KW"/>
        </w:rPr>
      </w:pPr>
      <w:r>
        <w:rPr>
          <w:rFonts w:ascii="Tajawal" w:hAnsi="Tajawal" w:cs="Tajawal" w:eastAsia="Tajawal"/>
          <w:rtl w:val="1"/>
          <w:lang w:val="ar-KW" w:bidi="ar-KW"/>
        </w:rPr>
        <w:t xml:space="preserve">مثال تعبئة تدريبي</w:t>
      </w:r>
    </w:p>
    <w:p>
      <w:pPr>
        <w:bidi w:val="1"/>
        <w:jc w:val="start"/>
        <w:rPr>
          <w:rtl w:val="1"/>
          <w:lang w:val="ar-KW" w:bidi="ar-KW"/>
        </w:rPr>
      </w:pPr>
      <w:r>
        <w:rPr>
          <w:rFonts w:ascii="Tajawal" w:hAnsi="Tajawal" w:cs="Tajawal" w:eastAsia="Tajawal"/>
          <w:rtl w:val="1"/>
          <w:lang w:val="ar-KW" w:bidi="ar-KW"/>
        </w:rPr>
        <w:t xml:space="preserve">جميع الوقائع والأعداد والأدوار في هذا المثال افتراضية لشرح استخدام الأداة؛ ولا تمثل نتائج أو قرارات فعلية في قُرَّاء.</w:t>
      </w:r>
    </w:p>
    <w:tbl>
      <w:tblPr>
        <w:tblW w:type="pct" w:w="5000"/>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bidiVisual w:val="1"/>
      </w:tblPr>
      <w:tblGrid>
        <w:gridCol w:w="3118"/>
        <w:gridCol w:w="6746"/>
      </w:tblGrid>
      <w:tr>
        <w:trPr>
          <w:tblHeader w:val="1"/>
        </w:trPr>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عنصر المؤشر</w:t>
            </w:r>
          </w:p>
        </w:tc>
        <w:tc>
          <w:tcPr>
            <w:tcW w:type="dxa" w:w="4933"/>
            <w:vAlign w:val="center"/>
            <w:tcMar>
              <w:top w:w="80" w:type="dxa"/>
              <w:bottom w:w="80" w:type="dxa"/>
              <w:left w:w="80" w:type="dxa"/>
              <w:right w:w="80" w:type="dxa"/>
            </w:tcMar>
            <w:shd w:fill="E4EBEA"/>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التعريف والبيانات</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الاسم والقرار الذي يخدمه</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اكتمال سجلات الحلقة الأسبوعية؛ يحدد أين نبدأ متابعة الإدخال.</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الفئة والفترة ونطاق التغطية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عشرة سجلات مستحقة في أسبوع واحد داخل الحلقة التجريبية.</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التعريف؛ البسط والمقام إن كان نسبة</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عدد السجلات المكتملة ÷ السجلات المستحقة × مئة؛ لا يستبعد السجل المتأخر من المقام.</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المصدر ومسؤول الإدخال والتحقق</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سجل المنصة؛ يدخل المعلم ويراجع المشرف الحقول المطلوبة.</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الاكتمال وتاريخ آخر تحديث</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راجع المشرف وقت المزامنة ونهاية الفترة قبل الحساب.</w:t>
            </w:r>
          </w:p>
        </w:tc>
      </w:tr>
      <w:tr>
        <w:trPr>
          <w:trHeight w:val="652" w:hRule="atLeast"/>
          <w:cantSplit w:val="1"/>
        </w:trPr>
        <w:tc>
          <w:tcPr>
            <w:tcW w:type="dxa" w:w="3118"/>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قيمة البداية والقيمة اللاحقة</w:t>
            </w:r>
          </w:p>
        </w:tc>
        <w:tc>
          <w:tcPr>
            <w:tcW w:type="dxa" w:w="6746"/>
            <w:vAlign w:val="center"/>
            <w:tcMar>
              <w:top w:w="80" w:type="dxa"/>
              <w:bottom w:w="80" w:type="dxa"/>
              <w:left w:w="80" w:type="dxa"/>
              <w:right w:w="80" w:type="dxa"/>
            </w:tcMar>
            <w:shd w:fill="F7F8F8"/>
          </w:tcPr>
          <w:p>
            <w:pPr>
              <w:bidi w:val="1"/>
              <w:spacing w:after="40" w:before="40"/>
              <w:jc w:val="center"/>
              <w:rPr>
                <w:rtl w:val="1"/>
                <w:lang w:val="ar-KW" w:bidi="ar-KW"/>
              </w:rPr>
            </w:pPr>
            <w:r>
              <w:rPr>
                <w:rFonts w:ascii="Tajawal" w:hAnsi="Tajawal" w:cs="Tajawal" w:eastAsia="Tajawal"/>
                <w:sz w:val="22"/>
                <w:szCs w:val="22"/>
                <w:rtl w:val="1"/>
                <w:lang w:val="ar-KW" w:bidi="ar-KW"/>
              </w:rPr>
              <w:t xml:space="preserve">ثمانية من عشرة في الأسبوع الأول = </w:t>
            </w:r>
            <w:r>
              <w:rPr>
                <w:rFonts w:ascii="Tajawal" w:hAnsi="Tajawal" w:cs="Tajawal" w:eastAsia="Tajawal"/>
                <w:sz w:val="22"/>
                <w:szCs w:val="22"/>
                <w:rtl w:val="0"/>
                <w:lang w:val="ar-KW" w:bidi="ar-KW"/>
              </w:rPr>
              <w:t xml:space="preserve">٨٠٪</w:t>
            </w:r>
            <w:r>
              <w:rPr>
                <w:rFonts w:ascii="Tajawal" w:hAnsi="Tajawal" w:cs="Tajawal" w:eastAsia="Tajawal"/>
                <w:sz w:val="22"/>
                <w:szCs w:val="22"/>
                <w:rtl w:val="1"/>
                <w:lang w:val="ar-KW" w:bidi="ar-KW"/>
              </w:rPr>
              <w:t xml:space="preserve">؛ عشرة من عشرة في الثاني = </w:t>
            </w:r>
            <w:r>
              <w:rPr>
                <w:rFonts w:ascii="Tajawal" w:hAnsi="Tajawal" w:cs="Tajawal" w:eastAsia="Tajawal"/>
                <w:sz w:val="22"/>
                <w:szCs w:val="22"/>
                <w:rtl w:val="0"/>
                <w:lang w:val="ar-KW" w:bidi="ar-KW"/>
              </w:rPr>
              <w:t xml:space="preserve">١٠٠٪</w:t>
            </w:r>
            <w:r>
              <w:rPr>
                <w:rFonts w:ascii="Tajawal" w:hAnsi="Tajawal" w:cs="Tajawal" w:eastAsia="Tajawal"/>
                <w:sz w:val="22"/>
                <w:szCs w:val="22"/>
                <w:rtl w:val="1"/>
                <w:lang w:val="ar-KW" w:bidi="ar-KW"/>
              </w:rPr>
              <w:t xml:space="preserve">.</w:t>
            </w:r>
          </w:p>
        </w:tc>
      </w:tr>
      <w:tr>
        <w:trPr>
          <w:trHeight w:val="652" w:hRule="atLeast"/>
          <w:cantSplit w:val="1"/>
        </w:trPr>
        <w:tc>
          <w:tcPr>
            <w:tcW w:type="dxa" w:w="3118"/>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التفسير والإجراء الذي يترتب عليها</w:t>
            </w:r>
          </w:p>
        </w:tc>
        <w:tc>
          <w:tcPr>
            <w:tcW w:type="dxa" w:w="6746"/>
            <w:vAlign w:val="center"/>
            <w:tcMar>
              <w:top w:w="80" w:type="dxa"/>
              <w:bottom w:w="80" w:type="dxa"/>
              <w:left w:w="80" w:type="dxa"/>
              <w:right w:w="80" w:type="dxa"/>
            </w:tcMar>
            <w:shd w:fill="FFFFFF"/>
          </w:tcPr>
          <w:p>
            <w:pPr>
              <w:bidi w:val="1"/>
              <w:spacing w:after="40" w:before="40"/>
              <w:jc w:val="center"/>
              <w:rPr>
                <w:rtl w:val="1"/>
                <w:lang w:val="ar-KW" w:bidi="ar-KW"/>
              </w:rPr>
            </w:pPr>
            <w:r>
              <w:rPr>
                <w:rFonts w:ascii="Tajawal" w:hAnsi="Tajawal" w:cs="Tajawal" w:eastAsia="Tajawal"/>
                <w:sz w:val="22"/>
                <w:szCs w:val="22"/>
                <w:rtl w:val="1"/>
                <w:lang w:val="ar-KW" w:bidi="ar-KW"/>
              </w:rPr>
              <w:t xml:space="preserve">تحسن اكتمال التسجيل في المثال؛ يفحص المشرف صحة المحتوى أيضًا. لا تثبت النسبة تحسن الحفظ.</w:t>
            </w:r>
          </w:p>
        </w:tc>
      </w:tr>
    </w:tbl>
    <w:p>
      <w:pPr>
        <w:bidi w:val="1"/>
        <w:jc w:val="start"/>
        <w:rPr>
          <w:rtl w:val="1"/>
          <w:lang w:val="ar-KW" w:bidi="ar-KW"/>
        </w:rPr>
      </w:pPr>
    </w:p>
    <w:p>
      <w:pPr>
        <w:pStyle w:val="Heading2"/>
        <w:bidi w:val="1"/>
        <w:jc w:val="start"/>
        <w:rPr>
          <w:rtl w:val="1"/>
          <w:lang w:val="ar-KW" w:bidi="ar-KW"/>
        </w:rPr>
      </w:pPr>
      <w:r>
        <w:rPr>
          <w:rFonts w:ascii="Tajawal" w:hAnsi="Tajawal" w:cs="Tajawal" w:eastAsia="Tajawal"/>
          <w:rtl w:val="1"/>
          <w:lang w:val="ar-KW" w:bidi="ar-KW"/>
        </w:rPr>
        <w:t xml:space="preserve">فحص قبل التفسير</w:t>
      </w:r>
    </w:p>
    <w:p>
      <w:pPr>
        <w:bidi w:val="1"/>
        <w:jc w:val="start"/>
        <w:rPr>
          <w:rtl w:val="1"/>
          <w:lang w:val="ar-KW" w:bidi="ar-KW"/>
        </w:rPr>
      </w:pPr>
      <w:r>
        <w:rPr>
          <w:rFonts w:ascii="Tajawal" w:hAnsi="Tajawal" w:cs="Tajawal" w:eastAsia="Tajawal"/>
          <w:rtl w:val="1"/>
          <w:lang w:val="ar-KW" w:bidi="ar-KW"/>
        </w:rPr>
        <w:t xml:space="preserve">اسأل هل تغير التعريف أو نطاق الحصر أو وقت المزامنة. وإذا قارنت إنجاز طالب قبل تغيير المسار وبعده، فسجل كذلك ما تغير في مقدار المطلوب وطريقة المتابعة. عندئذ يصبح الرقم مدخلًا للفهم ومناقشة الميدان.</w:t>
      </w:r>
    </w:p>
    <w:sectPr w:rsidR="00FC693F" w:rsidRPr="0006063C" w:rsidSect="00034616">
      <w:headerReference w:type="default" r:id="rId9"/>
      <w:footerReference w:type="default" r:id="rId10"/>
      <w:pgSz w:w="11906" w:h="16838"/>
      <w:pgMar w:top="964" w:right="1020" w:bottom="964" w:left="1020" w:header="397" w:footer="397" w:gutter="0"/>
      <w:cols w:space="720"/>
      <w:docGrid w:linePitch="360"/>
      <w:bidi w:val="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ajawal">
    <w:embedRegular r:id="rIdEmbed1" w:fontKey="{33BB69F9-2364-448F-89E5-63CEE502AAEF}"/>
    <w:embedBold r:id="rIdEmbed2" w:fontKey="{F01957CC-CB8B-4941-A8C9-A9DFF3CC5E7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د. صالح فيصل الخليفة   |   إصدار أكتوبر </w:t>
    </w:r>
    <w:r>
      <w:rPr>
        <w:rFonts w:ascii="Tajawal" w:hAnsi="Tajawal" w:cs="Tajawal" w:eastAsia="Tajawal"/>
        <w:sz w:val="18"/>
        <w:szCs w:val="18"/>
        <w:rtl w:val="0"/>
        <w:lang w:val="ar-KW" w:bidi="ar-KW"/>
      </w:rPr>
      <w:t xml:space="preserve">٢٠٢٦</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val="1"/>
      <w:jc w:val="center"/>
      <w:rPr>
        <w:rtl w:val="1"/>
        <w:lang w:val="ar-KW" w:bidi="ar-KW"/>
      </w:rPr>
    </w:pPr>
    <w:r>
      <w:rPr>
        <w:rFonts w:ascii="Tajawal" w:hAnsi="Tajawal" w:cs="Tajawal" w:eastAsia="Tajawal"/>
        <w:sz w:val="18"/>
        <w:szCs w:val="18"/>
        <w:rtl w:val="1"/>
        <w:lang w:val="ar-KW" w:bidi="ar-KW"/>
      </w:rPr>
      <w:t xml:space="preserve">قيادة الأثر   |   الأدوات والمواد المرافقة</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val="1"/>
        <w:lang w:val="ar-KW" w:eastAsia="en-US" w:bidi="ar-KW"/>
      </w:rPr>
    </w:rPrDefault>
    <w:pPrDefault>
      <w:pPr>
        <w:bidi w:val="1"/>
        <w:spacing w:after="200" w:line="276" w:lineRule="auto"/>
        <w:jc w:val="star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pageBreakBefore w:val="0"/>
      <w:bidi w:val="1"/>
      <w:spacing w:line="276" w:lineRule="auto" w:after="80"/>
      <w:jc w:val="start"/>
    </w:pPr>
    <w:rPr>
      <w:rFonts w:ascii="Tajawal" w:hAnsi="Tajawal" w:cs="Tajawal" w:eastAsia="Tajawal"/>
      <w:color w:val="000000"/>
      <w:sz w:val="24"/>
      <w:szCs w:val="24"/>
      <w:lang w:val="ar-KW" w:bidi="ar-KW"/>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start"/>
    </w:pPr>
    <w:rPr>
      <w:lang w:val="ar-KW" w:bidi="ar-KW"/>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bidi w:val="1"/>
      <w:spacing w:before="200" w:after="80" w:line="276" w:lineRule="auto"/>
      <w:jc w:val="start"/>
      <w:outlineLvl w:val="0"/>
    </w:pPr>
    <w:rPr>
      <w:rFonts w:asciiTheme="majorHAnsi" w:eastAsiaTheme="majorEastAsia" w:hAnsiTheme="majorHAnsi" w:cstheme="majorBidi" w:ascii="Tajawal" w:hAnsi="Tajawal" w:cs="Tajawal" w:eastAsia="Tajawal"/>
      <w:b/>
      <w:bCs/>
      <w:color w:val="000000"/>
      <w:sz w:val="32"/>
      <w:szCs w:val="32"/>
      <w:lang w:val="ar-KW" w:bidi="ar-KW"/>
    </w:rPr>
  </w:style>
  <w:style w:type="paragraph" w:styleId="Heading2">
    <w:name w:val="heading 2"/>
    <w:basedOn w:val="Normal"/>
    <w:next w:val="Normal"/>
    <w:link w:val="Heading2Char"/>
    <w:uiPriority w:val="9"/>
    <w:unhideWhenUsed/>
    <w:qFormat/>
    <w:rsid w:val="00FC693F"/>
    <w:pPr>
      <w:keepNext/>
      <w:keepLines/>
      <w:pageBreakBefore w:val="0"/>
      <w:bidi w:val="1"/>
      <w:spacing w:before="200" w:after="80" w:line="276" w:lineRule="auto"/>
      <w:jc w:val="start"/>
      <w:outlineLvl w:val="1"/>
    </w:pPr>
    <w:rPr>
      <w:rFonts w:asciiTheme="majorHAnsi" w:eastAsiaTheme="majorEastAsia" w:hAnsiTheme="majorHAnsi" w:cstheme="majorBidi" w:ascii="Tajawal" w:hAnsi="Tajawal" w:cs="Tajawal" w:eastAsia="Tajawal"/>
      <w:b/>
      <w:bCs/>
      <w:color w:val="000000"/>
      <w:sz w:val="26"/>
      <w:szCs w:val="26"/>
      <w:lang w:val="ar-KW" w:bidi="ar-KW"/>
    </w:rPr>
  </w:style>
  <w:style w:type="paragraph" w:styleId="Heading3">
    <w:name w:val="heading 3"/>
    <w:basedOn w:val="Normal"/>
    <w:next w:val="Normal"/>
    <w:link w:val="Heading3Char"/>
    <w:uiPriority w:val="9"/>
    <w:unhideWhenUsed/>
    <w:qFormat/>
    <w:rsid w:val="00FC693F"/>
    <w:pPr>
      <w:keepNext/>
      <w:keepLines/>
      <w:pageBreakBefore w:val="0"/>
      <w:bidi w:val="1"/>
      <w:spacing w:before="200" w:after="80" w:line="276" w:lineRule="auto"/>
      <w:jc w:val="start"/>
      <w:outlineLvl w:val="2"/>
    </w:pPr>
    <w:rPr>
      <w:rFonts w:asciiTheme="majorHAnsi" w:eastAsiaTheme="majorEastAsia" w:hAnsiTheme="majorHAnsi" w:cstheme="majorBidi" w:ascii="Tajawal" w:hAnsi="Tajawal" w:cs="Tajawal" w:eastAsia="Tajawal"/>
      <w:b/>
      <w:bCs/>
      <w:color w:val="000000"/>
      <w:sz w:val="24"/>
      <w:szCs w:val="24"/>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ageBreakBefore w:val="0"/>
      <w:bidi w:val="1"/>
      <w:spacing w:after="80" w:line="276" w:lineRule="auto"/>
      <w:contextualSpacing/>
      <w:jc w:val="start"/>
    </w:pPr>
    <w:rPr>
      <w:rFonts w:asciiTheme="majorHAnsi" w:eastAsiaTheme="majorEastAsia" w:hAnsiTheme="majorHAnsi" w:cstheme="majorBidi" w:ascii="Tajawal" w:hAnsi="Tajawal" w:cs="Tajawal" w:eastAsia="Tajawal"/>
      <w:b/>
      <w:color w:val="000000"/>
      <w:spacing w:val="5"/>
      <w:kern w:val="28"/>
      <w:sz w:val="36"/>
      <w:szCs w:val="36"/>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pageBreakBefore w:val="0"/>
      <w:numPr>
        <w:ilvl w:val="1"/>
      </w:numPr>
      <w:bidi w:val="1"/>
      <w:spacing w:line="276" w:lineRule="auto" w:after="80"/>
      <w:jc w:val="start"/>
    </w:pPr>
    <w:rPr>
      <w:rFonts w:asciiTheme="majorHAnsi" w:eastAsiaTheme="majorEastAsia" w:hAnsiTheme="majorHAnsi" w:cstheme="majorBidi" w:ascii="Tajawal" w:hAnsi="Tajawal" w:cs="Tajawal" w:eastAsia="Tajawal"/>
      <w:b/>
      <w:i/>
      <w:iCs/>
      <w:color w:val="000000"/>
      <w:spacing w:val="15"/>
      <w:sz w:val="22"/>
      <w:szCs w:val="22"/>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pageBreakBefore w:val="0"/>
      <w:bidi w:val="1"/>
      <w:spacing w:line="276" w:lineRule="auto" w:after="80"/>
      <w:ind w:left="720"/>
      <w:contextualSpacing/>
      <w:jc w:val="start"/>
    </w:pPr>
    <w:rPr>
      <w:rFonts w:ascii="Tajawal" w:hAnsi="Tajawal" w:cs="Tajawal" w:eastAsia="Tajawal"/>
      <w:color w:val="000000"/>
      <w:sz w:val="24"/>
      <w:szCs w:val="24"/>
      <w:lang w:val="ar-KW" w:bidi="ar-KW"/>
    </w:rPr>
  </w:style>
  <w:style w:type="paragraph" w:styleId="BodyText">
    <w:name w:val="Body Text"/>
    <w:basedOn w:val="Normal"/>
    <w:link w:val="BodyTextChar"/>
    <w:uiPriority w:val="99"/>
    <w:unhideWhenUsed/>
    <w:rsid w:val="00AA1D8D"/>
    <w:pPr>
      <w:pageBreakBefore w:val="0"/>
      <w:bidi w:val="1"/>
      <w:spacing w:after="80" w:line="276" w:lineRule="auto"/>
      <w:jc w:val="start"/>
    </w:pPr>
    <w:rPr>
      <w:rFonts w:ascii="Tajawal" w:hAnsi="Tajawal" w:cs="Tajawal" w:eastAsia="Tajawal"/>
      <w:color w:val="000000"/>
      <w:sz w:val="24"/>
      <w:szCs w:val="24"/>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start"/>
    </w:pPr>
    <w:rPr>
      <w:lang w:val="ar-KW" w:bidi="ar-KW"/>
    </w:rPr>
  </w:style>
  <w:style w:type="paragraph" w:styleId="Heading1">
    <w:name w:val="heading 1"/>
    <w:basedOn w:val="Normal"/>
    <w:next w:val="Normal"/>
    <w:link w:val="Heading1Char"/>
    <w:uiPriority w:val="9"/>
    <w:qFormat/>
    <w:rsid w:val="00FC693F"/>
    <w:pPr>
      <w:keepNext/>
      <w:keepLines/>
      <w:bidi w:val="1"/>
      <w:spacing w:before="480" w:after="0"/>
      <w:jc w:val="start"/>
      <w:outlineLvl w:val="0"/>
    </w:pPr>
    <w:rPr>
      <w:rFonts w:asciiTheme="majorHAnsi" w:eastAsiaTheme="majorEastAsia" w:hAnsiTheme="majorHAnsi" w:cstheme="majorBidi"/>
      <w:b/>
      <w:bCs/>
      <w:color w:val="365F91" w:themeColor="accent1" w:themeShade="BF"/>
      <w:sz w:val="28"/>
      <w:szCs w:val="28"/>
      <w:lang w:val="ar-KW" w:bidi="ar-KW"/>
    </w:rPr>
  </w:style>
  <w:style w:type="paragraph" w:styleId="Heading2">
    <w:name w:val="heading 2"/>
    <w:basedOn w:val="Normal"/>
    <w:next w:val="Normal"/>
    <w:link w:val="Heading2Char"/>
    <w:uiPriority w:val="9"/>
    <w:unhideWhenUsed/>
    <w:qFormat/>
    <w:rsid w:val="00FC693F"/>
    <w:pPr>
      <w:keepNext/>
      <w:keepLines/>
      <w:bidi w:val="1"/>
      <w:spacing w:before="200" w:after="0"/>
      <w:jc w:val="start"/>
      <w:outlineLvl w:val="1"/>
    </w:pPr>
    <w:rPr>
      <w:rFonts w:asciiTheme="majorHAnsi" w:eastAsiaTheme="majorEastAsia" w:hAnsiTheme="majorHAnsi" w:cstheme="majorBidi"/>
      <w:b/>
      <w:bCs/>
      <w:color w:val="4F81BD" w:themeColor="accent1"/>
      <w:sz w:val="26"/>
      <w:szCs w:val="26"/>
      <w:lang w:val="ar-KW" w:bidi="ar-KW"/>
    </w:rPr>
  </w:style>
  <w:style w:type="paragraph" w:styleId="Heading3">
    <w:name w:val="heading 3"/>
    <w:basedOn w:val="Normal"/>
    <w:next w:val="Normal"/>
    <w:link w:val="Heading3Char"/>
    <w:uiPriority w:val="9"/>
    <w:unhideWhenUsed/>
    <w:qFormat/>
    <w:rsid w:val="00FC693F"/>
    <w:pPr>
      <w:keepNext/>
      <w:keepLines/>
      <w:bidi w:val="1"/>
      <w:spacing w:before="200" w:after="0"/>
      <w:jc w:val="start"/>
      <w:outlineLvl w:val="2"/>
    </w:pPr>
    <w:rPr>
      <w:rFonts w:asciiTheme="majorHAnsi" w:eastAsiaTheme="majorEastAsia" w:hAnsiTheme="majorHAnsi" w:cstheme="majorBidi"/>
      <w:b/>
      <w:bCs/>
      <w:color w:val="4F81BD" w:themeColor="accent1"/>
      <w:lang w:val="ar-KW" w:bidi="ar-KW"/>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start"/>
      <w:outlineLvl w:val="3"/>
    </w:pPr>
    <w:rPr>
      <w:rFonts w:asciiTheme="majorHAnsi" w:eastAsiaTheme="majorEastAsia" w:hAnsiTheme="majorHAnsi" w:cstheme="majorBidi"/>
      <w:b/>
      <w:bCs/>
      <w:i/>
      <w:iCs/>
      <w:color w:val="4F81BD" w:themeColor="accent1"/>
      <w:lang w:val="ar-KW" w:bidi="ar-KW"/>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start"/>
      <w:outlineLvl w:val="4"/>
    </w:pPr>
    <w:rPr>
      <w:rFonts w:asciiTheme="majorHAnsi" w:eastAsiaTheme="majorEastAsia" w:hAnsiTheme="majorHAnsi" w:cstheme="majorBidi"/>
      <w:color w:val="243F60" w:themeColor="accent1" w:themeShade="7F"/>
      <w:lang w:val="ar-KW" w:bidi="ar-KW"/>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start"/>
      <w:outlineLvl w:val="5"/>
    </w:pPr>
    <w:rPr>
      <w:rFonts w:asciiTheme="majorHAnsi" w:eastAsiaTheme="majorEastAsia" w:hAnsiTheme="majorHAnsi" w:cstheme="majorBidi"/>
      <w:i/>
      <w:iCs/>
      <w:color w:val="243F60" w:themeColor="accent1" w:themeShade="7F"/>
      <w:lang w:val="ar-KW" w:bidi="ar-KW"/>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start"/>
      <w:outlineLvl w:val="6"/>
    </w:pPr>
    <w:rPr>
      <w:rFonts w:asciiTheme="majorHAnsi" w:eastAsiaTheme="majorEastAsia" w:hAnsiTheme="majorHAnsi" w:cstheme="majorBidi"/>
      <w:i/>
      <w:iCs/>
      <w:color w:val="404040" w:themeColor="text1" w:themeTint="BF"/>
      <w:lang w:val="ar-KW" w:bidi="ar-KW"/>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start"/>
      <w:outlineLvl w:val="7"/>
    </w:pPr>
    <w:rPr>
      <w:rFonts w:asciiTheme="majorHAnsi" w:eastAsiaTheme="majorEastAsia" w:hAnsiTheme="majorHAnsi" w:cstheme="majorBidi"/>
      <w:color w:val="4F81BD" w:themeColor="accent1"/>
      <w:sz w:val="20"/>
      <w:szCs w:val="20"/>
      <w:lang w:val="ar-KW" w:bidi="ar-KW"/>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start"/>
      <w:outlineLvl w:val="8"/>
    </w:pPr>
    <w:rPr>
      <w:rFonts w:asciiTheme="majorHAnsi" w:eastAsiaTheme="majorEastAsia" w:hAnsiTheme="majorHAnsi" w:cstheme="majorBidi"/>
      <w:i/>
      <w:iCs/>
      <w:color w:val="404040" w:themeColor="text1" w:themeTint="BF"/>
      <w:sz w:val="20"/>
      <w:szCs w:val="20"/>
      <w:lang w:val="ar-KW" w:bidi="ar-K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start"/>
    </w:pPr>
    <w:rPr>
      <w:lang w:val="ar-KW" w:bidi="ar-KW"/>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start"/>
    </w:pPr>
    <w:rPr>
      <w:rFonts w:asciiTheme="majorHAnsi" w:eastAsiaTheme="majorEastAsia" w:hAnsiTheme="majorHAnsi" w:cstheme="majorBidi"/>
      <w:color w:val="17365D" w:themeColor="text2" w:themeShade="BF"/>
      <w:spacing w:val="5"/>
      <w:kern w:val="28"/>
      <w:sz w:val="52"/>
      <w:szCs w:val="52"/>
      <w:lang w:val="ar-KW" w:bidi="ar-KW"/>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start"/>
    </w:pPr>
    <w:rPr>
      <w:rFonts w:asciiTheme="majorHAnsi" w:eastAsiaTheme="majorEastAsia" w:hAnsiTheme="majorHAnsi" w:cstheme="majorBidi"/>
      <w:i/>
      <w:iCs/>
      <w:color w:val="4F81BD" w:themeColor="accent1"/>
      <w:spacing w:val="15"/>
      <w:sz w:val="24"/>
      <w:szCs w:val="24"/>
      <w:lang w:val="ar-KW" w:bidi="ar-KW"/>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bidi w:val="1"/>
      <w:ind w:left="720"/>
      <w:contextualSpacing/>
      <w:jc w:val="start"/>
    </w:pPr>
    <w:rPr>
      <w:lang w:val="ar-KW" w:bidi="ar-KW"/>
    </w:rPr>
  </w:style>
  <w:style w:type="paragraph" w:styleId="BodyText">
    <w:name w:val="Body Text"/>
    <w:basedOn w:val="Normal"/>
    <w:link w:val="BodyTextChar"/>
    <w:uiPriority w:val="99"/>
    <w:unhideWhenUsed/>
    <w:rsid w:val="00AA1D8D"/>
    <w:pPr>
      <w:bidi w:val="1"/>
      <w:spacing w:after="120"/>
      <w:jc w:val="start"/>
    </w:pPr>
    <w:rPr>
      <w:lang w:val="ar-KW" w:bidi="ar-KW"/>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bidi w:val="1"/>
      <w:spacing w:after="120" w:line="480" w:lineRule="auto"/>
      <w:jc w:val="start"/>
    </w:pPr>
    <w:rPr>
      <w:lang w:val="ar-KW" w:bidi="ar-KW"/>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bidi w:val="1"/>
      <w:spacing w:after="120"/>
      <w:jc w:val="start"/>
    </w:pPr>
    <w:rPr>
      <w:sz w:val="16"/>
      <w:szCs w:val="16"/>
      <w:lang w:val="ar-KW" w:bidi="ar-KW"/>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bidi w:val="1"/>
      <w:ind w:left="360" w:hanging="360"/>
      <w:contextualSpacing/>
      <w:jc w:val="start"/>
    </w:pPr>
    <w:rPr>
      <w:lang w:val="ar-KW" w:bidi="ar-KW"/>
    </w:rPr>
  </w:style>
  <w:style w:type="paragraph" w:styleId="List2">
    <w:name w:val="List 2"/>
    <w:basedOn w:val="Normal"/>
    <w:uiPriority w:val="99"/>
    <w:unhideWhenUsed/>
    <w:rsid w:val="00326F90"/>
    <w:pPr>
      <w:bidi w:val="1"/>
      <w:ind w:left="720" w:hanging="360"/>
      <w:contextualSpacing/>
      <w:jc w:val="start"/>
    </w:pPr>
    <w:rPr>
      <w:lang w:val="ar-KW" w:bidi="ar-KW"/>
    </w:rPr>
  </w:style>
  <w:style w:type="paragraph" w:styleId="List3">
    <w:name w:val="List 3"/>
    <w:basedOn w:val="Normal"/>
    <w:uiPriority w:val="99"/>
    <w:unhideWhenUsed/>
    <w:rsid w:val="00326F90"/>
    <w:pPr>
      <w:bidi w:val="1"/>
      <w:ind w:left="1080" w:hanging="360"/>
      <w:contextualSpacing/>
      <w:jc w:val="start"/>
    </w:pPr>
    <w:rPr>
      <w:lang w:val="ar-KW" w:bidi="ar-KW"/>
    </w:rPr>
  </w:style>
  <w:style w:type="paragraph" w:styleId="ListBullet">
    <w:name w:val="List Bullet"/>
    <w:basedOn w:val="Normal"/>
    <w:uiPriority w:val="99"/>
    <w:unhideWhenUsed/>
    <w:rsid w:val="00326F90"/>
    <w:pPr>
      <w:numPr>
        <w:numId w:val="1"/>
      </w:numPr>
      <w:bidi w:val="1"/>
      <w:contextualSpacing/>
      <w:jc w:val="start"/>
    </w:pPr>
    <w:rPr>
      <w:lang w:val="ar-KW" w:bidi="ar-KW"/>
    </w:rPr>
  </w:style>
  <w:style w:type="paragraph" w:styleId="ListBullet2">
    <w:name w:val="List Bullet 2"/>
    <w:basedOn w:val="Normal"/>
    <w:uiPriority w:val="99"/>
    <w:unhideWhenUsed/>
    <w:rsid w:val="00326F90"/>
    <w:pPr>
      <w:numPr>
        <w:numId w:val="2"/>
      </w:numPr>
      <w:bidi w:val="1"/>
      <w:contextualSpacing/>
      <w:jc w:val="start"/>
    </w:pPr>
    <w:rPr>
      <w:lang w:val="ar-KW" w:bidi="ar-KW"/>
    </w:rPr>
  </w:style>
  <w:style w:type="paragraph" w:styleId="ListBullet3">
    <w:name w:val="List Bullet 3"/>
    <w:basedOn w:val="Normal"/>
    <w:uiPriority w:val="99"/>
    <w:unhideWhenUsed/>
    <w:rsid w:val="00326F90"/>
    <w:pPr>
      <w:numPr>
        <w:numId w:val="3"/>
      </w:numPr>
      <w:bidi w:val="1"/>
      <w:contextualSpacing/>
      <w:jc w:val="start"/>
    </w:pPr>
    <w:rPr>
      <w:lang w:val="ar-KW" w:bidi="ar-KW"/>
    </w:rPr>
  </w:style>
  <w:style w:type="paragraph" w:styleId="ListNumber">
    <w:name w:val="List Number"/>
    <w:basedOn w:val="Normal"/>
    <w:uiPriority w:val="99"/>
    <w:unhideWhenUsed/>
    <w:rsid w:val="00326F90"/>
    <w:pPr>
      <w:numPr>
        <w:numId w:val="5"/>
      </w:numPr>
      <w:bidi w:val="1"/>
      <w:contextualSpacing/>
      <w:jc w:val="start"/>
    </w:pPr>
    <w:rPr>
      <w:lang w:val="ar-KW" w:bidi="ar-KW"/>
    </w:rPr>
  </w:style>
  <w:style w:type="paragraph" w:styleId="ListNumber2">
    <w:name w:val="List Number 2"/>
    <w:basedOn w:val="Normal"/>
    <w:uiPriority w:val="99"/>
    <w:unhideWhenUsed/>
    <w:rsid w:val="0029639D"/>
    <w:pPr>
      <w:numPr>
        <w:numId w:val="6"/>
      </w:numPr>
      <w:bidi w:val="1"/>
      <w:contextualSpacing/>
      <w:jc w:val="start"/>
    </w:pPr>
    <w:rPr>
      <w:lang w:val="ar-KW" w:bidi="ar-KW"/>
    </w:rPr>
  </w:style>
  <w:style w:type="paragraph" w:styleId="ListNumber3">
    <w:name w:val="List Number 3"/>
    <w:basedOn w:val="Normal"/>
    <w:uiPriority w:val="99"/>
    <w:unhideWhenUsed/>
    <w:rsid w:val="0029639D"/>
    <w:pPr>
      <w:numPr>
        <w:numId w:val="7"/>
      </w:numPr>
      <w:bidi w:val="1"/>
      <w:contextualSpacing/>
      <w:jc w:val="start"/>
    </w:pPr>
    <w:rPr>
      <w:lang w:val="ar-KW" w:bidi="ar-KW"/>
    </w:rPr>
  </w:style>
  <w:style w:type="paragraph" w:styleId="ListContinue">
    <w:name w:val="List Continue"/>
    <w:basedOn w:val="Normal"/>
    <w:uiPriority w:val="99"/>
    <w:unhideWhenUsed/>
    <w:rsid w:val="0029639D"/>
    <w:pPr>
      <w:bidi w:val="1"/>
      <w:spacing w:after="120"/>
      <w:ind w:left="360"/>
      <w:contextualSpacing/>
      <w:jc w:val="start"/>
    </w:pPr>
    <w:rPr>
      <w:lang w:val="ar-KW" w:bidi="ar-KW"/>
    </w:rPr>
  </w:style>
  <w:style w:type="paragraph" w:styleId="ListContinue2">
    <w:name w:val="List Continue 2"/>
    <w:basedOn w:val="Normal"/>
    <w:uiPriority w:val="99"/>
    <w:unhideWhenUsed/>
    <w:rsid w:val="0029639D"/>
    <w:pPr>
      <w:bidi w:val="1"/>
      <w:spacing w:after="120"/>
      <w:ind w:left="720"/>
      <w:contextualSpacing/>
      <w:jc w:val="start"/>
    </w:pPr>
    <w:rPr>
      <w:lang w:val="ar-KW" w:bidi="ar-KW"/>
    </w:rPr>
  </w:style>
  <w:style w:type="paragraph" w:styleId="ListContinue3">
    <w:name w:val="List Continue 3"/>
    <w:basedOn w:val="Normal"/>
    <w:uiPriority w:val="99"/>
    <w:unhideWhenUsed/>
    <w:rsid w:val="0029639D"/>
    <w:pPr>
      <w:bidi w:val="1"/>
      <w:spacing w:after="120"/>
      <w:ind w:left="1080"/>
      <w:contextualSpacing/>
      <w:jc w:val="start"/>
    </w:pPr>
    <w:rPr>
      <w:lang w:val="ar-KW" w:bidi="ar-KW"/>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start"/>
    </w:pPr>
    <w:rPr>
      <w:rFonts w:ascii="Courier" w:hAnsi="Courier"/>
      <w:sz w:val="20"/>
      <w:szCs w:val="20"/>
      <w:lang w:val="ar-KW" w:bidi="ar-KW"/>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ar-KW" w:bidi="ar-KW"/>
    </w:rPr>
    <w:pPr>
      <w:bidi w:val="1"/>
      <w:jc w:val="start"/>
    </w:p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bidi w:val="1"/>
      <w:spacing w:line="240" w:lineRule="auto"/>
      <w:jc w:val="start"/>
    </w:pPr>
    <w:rPr>
      <w:b/>
      <w:bCs/>
      <w:color w:val="4F81BD" w:themeColor="accent1"/>
      <w:sz w:val="18"/>
      <w:szCs w:val="18"/>
      <w:lang w:val="ar-KW" w:bidi="ar-KW"/>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start"/>
    </w:pPr>
    <w:rPr>
      <w:b/>
      <w:bCs/>
      <w:i/>
      <w:iCs/>
      <w:color w:val="4F81BD" w:themeColor="accent1"/>
      <w:lang w:val="ar-KW" w:bidi="ar-KW"/>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bidi w:val="1"/>
      <w:jc w:val="start"/>
      <w:outlineLvl w:val="9"/>
    </w:pPr>
    <w:rPr>
      <w:lang w:val="ar-KW" w:bidi="ar-KW"/>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
<Relationships xmlns="http://schemas.openxmlformats.org/package/2006/relationships"><Relationship Id="rIdEmbed1" Type="http://schemas.openxmlformats.org/officeDocument/2006/relationships/font" Target="fonts/Tajawal-Regular.odttf"/><Relationship Id="rIdEmbed2" Type="http://schemas.openxmlformats.org/officeDocument/2006/relationships/font" Target="fonts/Tajawal-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الأداة الخامسة تعريف المؤشر وقراءة النتيجة</dc:title>
  <dc:subject>أدوات تعليمية مرافقة لكتاب قيادة الأثر</dc:subject>
  <dc:creator>د. صالح فيصل الخليفة</dc:creator>
  <cp:keywords/>
  <dc:description>generated by python-docx</dc:description>
  <cp:lastModifiedBy/>
  <cp:revision>1</cp:revision>
  <dcterms:created xsi:type="dcterms:W3CDTF">2013-12-23T23:15:00Z</dcterms:created>
  <dcterms:modified xsi:type="dcterms:W3CDTF">2013-12-23T23:15:00Z</dcterms:modified>
  <cp:category/>
</cp:coreProperties>
</file>