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Tajawal-Bold.odttf" ContentType="application/vnd.openxmlformats-officedocument.obfuscatedFont"/>
  <Override PartName="/word/fonts/Tajawal-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center"/>
        <w:rPr>
          <w:rtl w:val="1"/>
          <w:lang w:val="ar-KW" w:bidi="ar-KW"/>
        </w:rPr>
      </w:pPr>
      <w:r>
        <w:rPr>
          <w:rFonts w:ascii="Tajawal" w:hAnsi="Tajawal" w:cs="Tajawal" w:eastAsia="Tajawal"/>
          <w:rtl w:val="1"/>
          <w:lang w:val="ar-KW" w:bidi="ar-KW"/>
        </w:rPr>
        <w:t xml:space="preserve">الأداة الثامنة نقل المعرفة وتجربة الدليل</w:t>
      </w:r>
    </w:p>
    <w:p>
      <w:pPr>
        <w:pStyle w:val="Subtitle"/>
        <w:bidi w:val="1"/>
        <w:jc w:val="center"/>
        <w:rPr>
          <w:rtl w:val="1"/>
          <w:lang w:val="ar-KW" w:bidi="ar-KW"/>
        </w:rPr>
      </w:pPr>
      <w:r>
        <w:rPr>
          <w:rFonts w:ascii="Tajawal" w:hAnsi="Tajawal" w:cs="Tajawal" w:eastAsia="Tajawal"/>
          <w:rtl w:val="1"/>
          <w:lang w:val="ar-KW" w:bidi="ar-KW"/>
        </w:rPr>
        <w:t xml:space="preserve">نموذج قابل للتعبئة والتعديل</w:t>
      </w:r>
    </w:p>
    <w:p>
      <w:pPr>
        <w:bidi w:val="1"/>
        <w:jc w:val="start"/>
        <w:rPr>
          <w:rtl w:val="1"/>
          <w:lang w:val="ar-KW" w:bidi="ar-KW"/>
        </w:rPr>
      </w:pPr>
      <w:r>
        <w:rPr>
          <w:rFonts w:ascii="Tajawal" w:hAnsi="Tajawal" w:cs="Tajawal" w:eastAsia="Tajawal"/>
          <w:rtl w:val="1"/>
          <w:lang w:val="ar-KW" w:bidi="ar-KW"/>
        </w:rPr>
        <w:t xml:space="preserve">تستخدم عندما تعتمد مهمة على خبرة شخص واحد، وعند تحديث دليل أو انتقال مسؤولية. يصف صاحب الخبرة الخطوات والقرارات والاستثناءات، ثم يجربها زميل تحت إشرافه. تُحفظ الأسئلة التي كشفها التنفيذ في النسخة التالية.</w:t>
      </w:r>
    </w:p>
    <w:p>
      <w:pPr>
        <w:bidi w:val="1"/>
        <w:jc w:val="start"/>
        <w:rPr>
          <w:rtl w:val="1"/>
          <w:lang w:val="ar-KW" w:bidi="ar-KW"/>
        </w:rPr>
      </w:pPr>
      <w:r>
        <w:rPr>
          <w:rFonts w:ascii="Tajawal" w:hAnsi="Tajawal" w:cs="Tajawal" w:eastAsia="Tajawal"/>
          <w:rtl w:val="1"/>
          <w:lang w:val="ar-KW" w:bidi="ar-KW"/>
        </w:rPr>
        <w:t xml:space="preserve">الجهة أو البرنامج: </w:t>
      </w:r>
      <w:sdt>
        <w:sdtPr>
          <w:id w:val="5071"/>
          <w:alias w:val="organization"/>
          <w:tag w:val="organization"/>
        </w:sdtPr>
        <w:sdtContent>
          <w:r>
            <w:rPr>
              <w:rFonts w:ascii="Tajawal" w:hAnsi="Tajawal" w:cs="Tajawal"/>
              <w:color w:val="777777"/>
              <w:sz w:val="22"/>
              <w:szCs w:val="22"/>
              <w:rtl w:val="1"/>
              <w:lang w:val="ar-KW" w:bidi="ar-KW"/>
            </w:rPr>
            <w:t>اكتب هنا</w:t>
          </w:r>
        </w:sdtContent>
      </w:sdt>
    </w:p>
    <w:p>
      <w:pPr>
        <w:bidi w:val="1"/>
        <w:jc w:val="start"/>
        <w:rPr>
          <w:rtl w:val="1"/>
          <w:lang w:val="ar-KW" w:bidi="ar-KW"/>
        </w:rPr>
      </w:pPr>
      <w:r>
        <w:rPr>
          <w:rFonts w:ascii="Tajawal" w:hAnsi="Tajawal" w:cs="Tajawal" w:eastAsia="Tajawal"/>
          <w:rtl w:val="1"/>
          <w:lang w:val="ar-KW" w:bidi="ar-KW"/>
        </w:rPr>
        <w:t xml:space="preserve">المسؤول والفترة وتاريخ المراجعة: </w:t>
      </w:r>
      <w:sdt>
        <w:sdtPr>
          <w:id w:val="5072"/>
          <w:alias w:val="owner_period"/>
          <w:tag w:val="owner_period"/>
        </w:sdtPr>
        <w:sdtContent>
          <w:r>
            <w:rPr>
              <w:rFonts w:ascii="Tajawal" w:hAnsi="Tajawal" w:cs="Tajawal"/>
              <w:color w:val="777777"/>
              <w:sz w:val="22"/>
              <w:szCs w:val="22"/>
              <w:rtl w:val="1"/>
              <w:lang w:val="ar-KW" w:bidi="ar-KW"/>
            </w:rPr>
            <w:t>اكتب هنا</w:t>
          </w:r>
        </w:sdtContent>
      </w:sdt>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عنصر نقل المعرفة</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يوثق أو يختبر</w:t>
            </w:r>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المهمة ومسؤولها وبديله</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73"/>
                <w:alias w:val="row1_col2"/>
                <w:tag w:val="row1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خطوات العمل والقرارات المهمة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74"/>
                <w:alias w:val="row2_col2"/>
                <w:tag w:val="row2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النسخة المعتمدة ومكانها ومالكها</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75"/>
                <w:alias w:val="row3_col2"/>
                <w:tag w:val="row3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الاستثناءات وجهة الرجوع</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76"/>
                <w:alias w:val="row4_col2"/>
                <w:tag w:val="row4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تجربة التنفيذ وما كشفته من غموض</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77"/>
                <w:alias w:val="row5_col2"/>
                <w:tag w:val="row5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التعديل وتاريخ المراجعة التالية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78"/>
                <w:alias w:val="row6_col2"/>
                <w:tag w:val="row6_col2"/>
              </w:sdtPr>
              <w:sdtContent>
                <w:r>
                  <w:rPr>
                    <w:rFonts w:ascii="Tajawal" w:hAnsi="Tajawal" w:cs="Tajawal"/>
                    <w:color w:val="777777"/>
                    <w:sz w:val="22"/>
                    <w:szCs w:val="22"/>
                    <w:rtl w:val="1"/>
                    <w:lang w:val="ar-KW" w:bidi="ar-KW"/>
                  </w:rPr>
                  <w:t>اكتب هنا</w:t>
                </w:r>
              </w:sdtContent>
            </w:sdt>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طريقة التعبئة</w:t>
      </w:r>
    </w:p>
    <w:p>
      <w:pPr>
        <w:bidi w:val="1"/>
        <w:jc w:val="start"/>
        <w:rPr>
          <w:rtl w:val="1"/>
          <w:lang w:val="ar-KW" w:bidi="ar-KW"/>
        </w:rPr>
      </w:pPr>
      <w:r>
        <w:rPr>
          <w:rFonts w:ascii="Tajawal" w:hAnsi="Tajawal" w:cs="Tajawal" w:eastAsia="Tajawal"/>
          <w:rtl w:val="1"/>
          <w:lang w:val="ar-KW" w:bidi="ar-KW"/>
        </w:rPr>
        <w:t xml:space="preserve">انقر داخل الحقل واكتب إجابتك، أو اطبع النموذج للتعبئة اليدوية. احتفظ بنسخة لكل تطبيق، وسجّل ما لا تعرفه مع المسؤول عن استكماله. الصفحة التالية مثال تدريبي مكتمل.</w:t>
      </w:r>
    </w:p>
    <w:p>
      <w:pPr>
        <w:pStyle w:val="Heading1"/>
        <w:pageBreakBefore/>
        <w:bidi w:val="1"/>
        <w:jc w:val="start"/>
        <w:rPr>
          <w:rtl w:val="1"/>
          <w:lang w:val="ar-KW" w:bidi="ar-KW"/>
        </w:rPr>
      </w:pPr>
      <w:r>
        <w:rPr>
          <w:rFonts w:ascii="Tajawal" w:hAnsi="Tajawal" w:cs="Tajawal" w:eastAsia="Tajawal"/>
          <w:rtl w:val="1"/>
          <w:lang w:val="ar-KW" w:bidi="ar-KW"/>
        </w:rPr>
        <w:t xml:space="preserve">مثال تعبئة تدريبي</w:t>
      </w:r>
    </w:p>
    <w:p>
      <w:pPr>
        <w:bidi w:val="1"/>
        <w:jc w:val="start"/>
        <w:rPr>
          <w:rtl w:val="1"/>
          <w:lang w:val="ar-KW" w:bidi="ar-KW"/>
        </w:rPr>
      </w:pPr>
      <w:r>
        <w:rPr>
          <w:rFonts w:ascii="Tajawal" w:hAnsi="Tajawal" w:cs="Tajawal" w:eastAsia="Tajawal"/>
          <w:rtl w:val="1"/>
          <w:lang w:val="ar-KW" w:bidi="ar-KW"/>
        </w:rPr>
        <w:t xml:space="preserve">جميع الوقائع والأعداد والأدوار في هذا المثال افتراضية لشرح استخدام الأداة؛ ولا تمثل نتائج أو قرارات فعلية في قُرَّاء.</w:t>
      </w:r>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عنصر نقل المعرفة</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يوثق أو يختبر</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المهمة ومسؤولها وبديله</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إعداد تقرير الحلقة الشهري؛ المسؤول المشرف، والبديل مشرف مكلف.</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خطوات العمل والقرارات المهمة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اختيار الفترة؛ استخراج السجل؛ فحص النقص؛ كتابة التفسير؛ إحالة التقرير.</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النسخة المعتمدة ومكانها ومالكها</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نسخة تدريبية رقم </w:t>
            </w:r>
            <w:r>
              <w:rPr>
                <w:rFonts w:ascii="Tajawal" w:hAnsi="Tajawal" w:cs="Tajawal" w:eastAsia="Tajawal"/>
                <w:sz w:val="22"/>
                <w:szCs w:val="22"/>
                <w:rtl w:val="0"/>
                <w:lang w:val="ar-KW" w:bidi="ar-KW"/>
              </w:rPr>
              <w:t xml:space="preserve">١</w:t>
            </w:r>
            <w:r>
              <w:rPr>
                <w:rFonts w:ascii="Tajawal" w:hAnsi="Tajawal" w:cs="Tajawal" w:eastAsia="Tajawal"/>
                <w:sz w:val="22"/>
                <w:szCs w:val="22"/>
                <w:rtl w:val="1"/>
                <w:lang w:val="ar-KW" w:bidi="ar-KW"/>
              </w:rPr>
              <w:t xml:space="preserve">؛ في المجلد المعتمد للمركز؛ مالكها المسؤول الفني.</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الاستثناءات وجهة الرجوع</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عند اختلاف العدد يراجع مصدر السجل وتاريخ المزامنة؛ يرجع للمالك إذا بقي الاختلاف.</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تجربة التنفيذ وما كشفته من غموض</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احتاج البديل إلى تفسير معنى السجل المكتمل؛ أضيف تعريف الحقول المطلوبة.</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التعديل وتاريخ المراجعة التالية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تحديث النسخة إلى رقم </w:t>
            </w:r>
            <w:r>
              <w:rPr>
                <w:rFonts w:ascii="Tajawal" w:hAnsi="Tajawal" w:cs="Tajawal" w:eastAsia="Tajawal"/>
                <w:sz w:val="22"/>
                <w:szCs w:val="22"/>
                <w:rtl w:val="0"/>
                <w:lang w:val="ar-KW" w:bidi="ar-KW"/>
              </w:rPr>
              <w:t xml:space="preserve">٢</w:t>
            </w:r>
            <w:r>
              <w:rPr>
                <w:rFonts w:ascii="Tajawal" w:hAnsi="Tajawal" w:cs="Tajawal" w:eastAsia="Tajawal"/>
                <w:sz w:val="22"/>
                <w:szCs w:val="22"/>
                <w:rtl w:val="1"/>
                <w:lang w:val="ar-KW" w:bidi="ar-KW"/>
              </w:rPr>
              <w:t xml:space="preserve"> وإعادة التجربة؛ مراجعة الدليل بعد أول دورة تشغيل.</w:t>
            </w:r>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اختبار الاستمرار</w:t>
      </w:r>
    </w:p>
    <w:p>
      <w:pPr>
        <w:bidi w:val="1"/>
        <w:jc w:val="start"/>
        <w:rPr>
          <w:rtl w:val="1"/>
          <w:lang w:val="ar-KW" w:bidi="ar-KW"/>
        </w:rPr>
      </w:pPr>
      <w:r>
        <w:rPr>
          <w:rFonts w:ascii="Tajawal" w:hAnsi="Tajawal" w:cs="Tajawal" w:eastAsia="Tajawal"/>
          <w:rtl w:val="1"/>
          <w:lang w:val="ar-KW" w:bidi="ar-KW"/>
        </w:rPr>
        <w:t xml:space="preserve">اسأل: هل يستطيع شخص آخر معرفة ما يفعل، ولماذا، ومن يرجع إليه؟ إذا كان الجواب يعتمد على الاتصال بصاحب الخبرة في كل خطوة، فهناك معرفة عملية لم تتحول بعد إلى دليل قابل للاستخدام.</w:t>
      </w:r>
    </w:p>
    <w:sectPr w:rsidR="00FC693F" w:rsidRPr="0006063C" w:rsidSect="00034616">
      <w:headerReference w:type="default" r:id="rId9"/>
      <w:footerReference w:type="default" r:id="rId10"/>
      <w:pgSz w:w="11906" w:h="16838"/>
      <w:pgMar w:top="964" w:right="1020" w:bottom="964" w:left="1020" w:header="397" w:footer="397"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jawal">
    <w:embedRegular r:id="rIdEmbed1" w:fontKey="{33BB69F9-2364-448F-89E5-63CEE502AAEF}"/>
    <w:embedBold r:id="rIdEmbed2" w:fontKey="{F01957CC-CB8B-4941-A8C9-A9DFF3CC5E7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د. صالح فيصل الخليفة   |   إصدار أكتوبر </w:t>
    </w:r>
    <w:r>
      <w:rPr>
        <w:rFonts w:ascii="Tajawal" w:hAnsi="Tajawal" w:cs="Tajawal" w:eastAsia="Tajawal"/>
        <w:sz w:val="18"/>
        <w:szCs w:val="18"/>
        <w:rtl w:val="0"/>
        <w:lang w:val="ar-KW" w:bidi="ar-KW"/>
      </w:rPr>
      <w:t xml:space="preserve">٢٠٢٦</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قيادة الأثر   |   الأدوات والمواد المرافقة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val="1"/>
        <w:lang w:val="ar-KW" w:eastAsia="en-US" w:bidi="ar-KW"/>
      </w:rPr>
    </w:rPrDefault>
    <w:pPrDefault>
      <w:pPr>
        <w:bidi w:val="1"/>
        <w:spacing w:after="200" w:line="276" w:lineRule="auto"/>
        <w:jc w:val="star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bidi w:val="1"/>
      <w:spacing w:line="276" w:lineRule="auto" w:after="80"/>
      <w:jc w:val="start"/>
    </w:pPr>
    <w:rPr>
      <w:rFonts w:ascii="Tajawal" w:hAnsi="Tajawal" w:cs="Tajawal" w:eastAsia="Tajawal"/>
      <w:color w:val="000000"/>
      <w:sz w:val="24"/>
      <w:szCs w:val="24"/>
      <w:lang w:val="ar-KW" w:bidi="ar-KW"/>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bidi w:val="1"/>
      <w:spacing w:before="200" w:after="80" w:line="276" w:lineRule="auto"/>
      <w:jc w:val="start"/>
      <w:outlineLvl w:val="0"/>
    </w:pPr>
    <w:rPr>
      <w:rFonts w:asciiTheme="majorHAnsi" w:eastAsiaTheme="majorEastAsia" w:hAnsiTheme="majorHAnsi" w:cstheme="majorBidi" w:ascii="Tajawal" w:hAnsi="Tajawal" w:cs="Tajawal" w:eastAsia="Tajawal"/>
      <w:b/>
      <w:bCs/>
      <w:color w:val="000000"/>
      <w:sz w:val="32"/>
      <w:szCs w:val="32"/>
      <w:lang w:val="ar-KW" w:bidi="ar-KW"/>
    </w:rPr>
  </w:style>
  <w:style w:type="paragraph" w:styleId="Heading2">
    <w:name w:val="heading 2"/>
    <w:basedOn w:val="Normal"/>
    <w:next w:val="Normal"/>
    <w:link w:val="Heading2Char"/>
    <w:uiPriority w:val="9"/>
    <w:unhideWhenUsed/>
    <w:qFormat/>
    <w:rsid w:val="00FC693F"/>
    <w:pPr>
      <w:keepNext/>
      <w:keepLines/>
      <w:pageBreakBefore w:val="0"/>
      <w:bidi w:val="1"/>
      <w:spacing w:before="200" w:after="80" w:line="276" w:lineRule="auto"/>
      <w:jc w:val="start"/>
      <w:outlineLvl w:val="1"/>
    </w:pPr>
    <w:rPr>
      <w:rFonts w:asciiTheme="majorHAnsi" w:eastAsiaTheme="majorEastAsia" w:hAnsiTheme="majorHAnsi" w:cstheme="majorBidi" w:ascii="Tajawal" w:hAnsi="Tajawal" w:cs="Tajawal" w:eastAsia="Tajawal"/>
      <w:b/>
      <w:bCs/>
      <w:color w:val="000000"/>
      <w:sz w:val="26"/>
      <w:szCs w:val="26"/>
      <w:lang w:val="ar-KW" w:bidi="ar-KW"/>
    </w:rPr>
  </w:style>
  <w:style w:type="paragraph" w:styleId="Heading3">
    <w:name w:val="heading 3"/>
    <w:basedOn w:val="Normal"/>
    <w:next w:val="Normal"/>
    <w:link w:val="Heading3Char"/>
    <w:uiPriority w:val="9"/>
    <w:unhideWhenUsed/>
    <w:qFormat/>
    <w:rsid w:val="00FC693F"/>
    <w:pPr>
      <w:keepNext/>
      <w:keepLines/>
      <w:pageBreakBefore w:val="0"/>
      <w:bidi w:val="1"/>
      <w:spacing w:before="200" w:after="80" w:line="276" w:lineRule="auto"/>
      <w:jc w:val="start"/>
      <w:outlineLvl w:val="2"/>
    </w:pPr>
    <w:rPr>
      <w:rFonts w:asciiTheme="majorHAnsi" w:eastAsiaTheme="majorEastAsia" w:hAnsiTheme="majorHAnsi" w:cstheme="majorBidi" w:ascii="Tajawal" w:hAnsi="Tajawal" w:cs="Tajawal" w:eastAsia="Tajawal"/>
      <w:b/>
      <w:bCs/>
      <w:color w:val="000000"/>
      <w:sz w:val="24"/>
      <w:szCs w:val="24"/>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bidi w:val="1"/>
      <w:spacing w:after="80" w:line="276" w:lineRule="auto"/>
      <w:contextualSpacing/>
      <w:jc w:val="start"/>
    </w:pPr>
    <w:rPr>
      <w:rFonts w:asciiTheme="majorHAnsi" w:eastAsiaTheme="majorEastAsia" w:hAnsiTheme="majorHAnsi" w:cstheme="majorBidi" w:ascii="Tajawal" w:hAnsi="Tajawal" w:cs="Tajawal" w:eastAsia="Tajawal"/>
      <w:b/>
      <w:color w:val="000000"/>
      <w:spacing w:val="5"/>
      <w:kern w:val="28"/>
      <w:sz w:val="36"/>
      <w:szCs w:val="36"/>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pageBreakBefore w:val="0"/>
      <w:numPr>
        <w:ilvl w:val="1"/>
      </w:numPr>
      <w:bidi w:val="1"/>
      <w:spacing w:line="276" w:lineRule="auto" w:after="80"/>
      <w:jc w:val="start"/>
    </w:pPr>
    <w:rPr>
      <w:rFonts w:asciiTheme="majorHAnsi" w:eastAsiaTheme="majorEastAsia" w:hAnsiTheme="majorHAnsi" w:cstheme="majorBidi" w:ascii="Tajawal" w:hAnsi="Tajawal" w:cs="Tajawal" w:eastAsia="Tajawal"/>
      <w:b/>
      <w:i/>
      <w:iCs/>
      <w:color w:val="000000"/>
      <w:spacing w:val="15"/>
      <w:sz w:val="22"/>
      <w:szCs w:val="22"/>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pageBreakBefore w:val="0"/>
      <w:bidi w:val="1"/>
      <w:spacing w:line="276" w:lineRule="auto" w:after="80"/>
      <w:ind w:left="720"/>
      <w:contextualSpacing/>
      <w:jc w:val="start"/>
    </w:pPr>
    <w:rPr>
      <w:rFonts w:ascii="Tajawal" w:hAnsi="Tajawal" w:cs="Tajawal" w:eastAsia="Tajawal"/>
      <w:color w:val="000000"/>
      <w:sz w:val="24"/>
      <w:szCs w:val="24"/>
      <w:lang w:val="ar-KW" w:bidi="ar-KW"/>
    </w:rPr>
  </w:style>
  <w:style w:type="paragraph" w:styleId="BodyText">
    <w:name w:val="Body Text"/>
    <w:basedOn w:val="Normal"/>
    <w:link w:val="BodyTextChar"/>
    <w:uiPriority w:val="99"/>
    <w:unhideWhenUsed/>
    <w:rsid w:val="00AA1D8D"/>
    <w:pPr>
      <w:pageBreakBefore w:val="0"/>
      <w:bidi w:val="1"/>
      <w:spacing w:after="80" w:line="276" w:lineRule="auto"/>
      <w:jc w:val="start"/>
    </w:pPr>
    <w:rPr>
      <w:rFonts w:ascii="Tajawal" w:hAnsi="Tajawal" w:cs="Tajawal" w:eastAsia="Tajawal"/>
      <w:color w:val="000000"/>
      <w:sz w:val="24"/>
      <w:szCs w:val="24"/>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lang w:val="ar-KW" w:bidi="ar-KW"/>
    </w:rPr>
  </w:style>
  <w:style w:type="paragraph" w:styleId="Heading1">
    <w:name w:val="heading 1"/>
    <w:basedOn w:val="Normal"/>
    <w:next w:val="Normal"/>
    <w:link w:val="Heading1Char"/>
    <w:uiPriority w:val="9"/>
    <w:qFormat/>
    <w:rsid w:val="00FC693F"/>
    <w:pPr>
      <w:keepNext/>
      <w:keepLines/>
      <w:bidi w:val="1"/>
      <w:spacing w:before="480" w:after="0"/>
      <w:jc w:val="start"/>
      <w:outlineLvl w:val="0"/>
    </w:pPr>
    <w:rPr>
      <w:rFonts w:asciiTheme="majorHAnsi" w:eastAsiaTheme="majorEastAsia" w:hAnsiTheme="majorHAnsi" w:cstheme="majorBidi"/>
      <w:b/>
      <w:bCs/>
      <w:color w:val="365F91" w:themeColor="accent1" w:themeShade="BF"/>
      <w:sz w:val="28"/>
      <w:szCs w:val="28"/>
      <w:lang w:val="ar-KW" w:bidi="ar-KW"/>
    </w:rPr>
  </w:style>
  <w:style w:type="paragraph" w:styleId="Heading2">
    <w:name w:val="heading 2"/>
    <w:basedOn w:val="Normal"/>
    <w:next w:val="Normal"/>
    <w:link w:val="Heading2Char"/>
    <w:uiPriority w:val="9"/>
    <w:unhideWhenUsed/>
    <w:qFormat/>
    <w:rsid w:val="00FC693F"/>
    <w:pPr>
      <w:keepNext/>
      <w:keepLines/>
      <w:bidi w:val="1"/>
      <w:spacing w:before="200" w:after="0"/>
      <w:jc w:val="start"/>
      <w:outlineLvl w:val="1"/>
    </w:pPr>
    <w:rPr>
      <w:rFonts w:asciiTheme="majorHAnsi" w:eastAsiaTheme="majorEastAsia" w:hAnsiTheme="majorHAnsi" w:cstheme="majorBidi"/>
      <w:b/>
      <w:bCs/>
      <w:color w:val="4F81BD" w:themeColor="accent1"/>
      <w:sz w:val="26"/>
      <w:szCs w:val="26"/>
      <w:lang w:val="ar-KW" w:bidi="ar-KW"/>
    </w:rPr>
  </w:style>
  <w:style w:type="paragraph" w:styleId="Heading3">
    <w:name w:val="heading 3"/>
    <w:basedOn w:val="Normal"/>
    <w:next w:val="Normal"/>
    <w:link w:val="Heading3Char"/>
    <w:uiPriority w:val="9"/>
    <w:unhideWhenUsed/>
    <w:qFormat/>
    <w:rsid w:val="00FC693F"/>
    <w:pPr>
      <w:keepNext/>
      <w:keepLines/>
      <w:bidi w:val="1"/>
      <w:spacing w:before="200" w:after="0"/>
      <w:jc w:val="start"/>
      <w:outlineLvl w:val="2"/>
    </w:pPr>
    <w:rPr>
      <w:rFonts w:asciiTheme="majorHAnsi" w:eastAsiaTheme="majorEastAsia" w:hAnsiTheme="majorHAnsi" w:cstheme="majorBidi"/>
      <w:b/>
      <w:bCs/>
      <w:color w:val="4F81BD" w:themeColor="accent1"/>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start"/>
    </w:pPr>
    <w:rPr>
      <w:rFonts w:asciiTheme="majorHAnsi" w:eastAsiaTheme="majorEastAsia" w:hAnsiTheme="majorHAnsi" w:cstheme="majorBidi"/>
      <w:color w:val="17365D" w:themeColor="text2" w:themeShade="BF"/>
      <w:spacing w:val="5"/>
      <w:kern w:val="28"/>
      <w:sz w:val="52"/>
      <w:szCs w:val="52"/>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i/>
      <w:iCs/>
      <w:color w:val="4F81BD" w:themeColor="accent1"/>
      <w:spacing w:val="15"/>
      <w:sz w:val="24"/>
      <w:szCs w:val="24"/>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bidi w:val="1"/>
      <w:ind w:left="720"/>
      <w:contextualSpacing/>
      <w:jc w:val="start"/>
    </w:pPr>
    <w:rPr>
      <w:lang w:val="ar-KW" w:bidi="ar-KW"/>
    </w:rPr>
  </w:style>
  <w:style w:type="paragraph" w:styleId="BodyText">
    <w:name w:val="Body Text"/>
    <w:basedOn w:val="Normal"/>
    <w:link w:val="BodyTextChar"/>
    <w:uiPriority w:val="99"/>
    <w:unhideWhenUsed/>
    <w:rsid w:val="00AA1D8D"/>
    <w:pPr>
      <w:bidi w:val="1"/>
      <w:spacing w:after="120"/>
      <w:jc w:val="start"/>
    </w:pPr>
    <w:rPr>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Tajawal-Regular.odttf"/><Relationship Id="rIdEmbed2" Type="http://schemas.openxmlformats.org/officeDocument/2006/relationships/font" Target="fonts/Tajawal-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الأداة الثامنة نقل المعرفة وتجربة الدليل</dc:title>
  <dc:subject>أدوات تعليمية مرافقة لكتاب قيادة الأثر</dc:subject>
  <dc:creator>د. صالح فيصل الخليفة</dc:creator>
  <cp:keywords/>
  <dc:description>generated by python-docx</dc:description>
  <cp:lastModifiedBy/>
  <cp:revision>1</cp:revision>
  <dcterms:created xsi:type="dcterms:W3CDTF">2013-12-23T23:15:00Z</dcterms:created>
  <dcterms:modified xsi:type="dcterms:W3CDTF">2013-12-23T23:15:00Z</dcterms:modified>
  <cp:category/>
</cp:coreProperties>
</file>